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ascii="微软雅黑" w:hAnsi="微软雅黑" w:eastAsia="微软雅黑" w:cs="微软雅黑"/>
          <w:b/>
          <w:color w:val="404040"/>
          <w:spacing w:val="15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15"/>
          <w:sz w:val="48"/>
          <w:szCs w:val="48"/>
          <w:bdr w:val="none" w:color="auto" w:sz="0" w:space="0"/>
          <w:shd w:val="clear" w:fill="FFFFFF"/>
        </w:rPr>
        <w:t>铜仁幼儿师专2017年招聘高层次人才公告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招聘岗位及要求一览表</w:t>
      </w:r>
    </w:p>
    <w:tbl>
      <w:tblPr>
        <w:tblW w:w="11908" w:type="dxa"/>
        <w:jc w:val="center"/>
        <w:tblInd w:w="113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385"/>
        <w:gridCol w:w="1385"/>
        <w:gridCol w:w="1385"/>
        <w:gridCol w:w="1385"/>
        <w:gridCol w:w="1646"/>
        <w:gridCol w:w="33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招聘单位名称</w:t>
            </w:r>
          </w:p>
        </w:tc>
        <w:tc>
          <w:tcPr>
            <w:tcW w:w="13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3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3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303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报考条件要求</w:t>
            </w:r>
          </w:p>
        </w:tc>
        <w:tc>
          <w:tcPr>
            <w:tcW w:w="33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其他条件要求及说明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学历、学位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3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铜仁幼儿师范高等专科学校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心理学教师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心理学类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学前教育教师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学前教育学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本科为学前教育专业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特殊教育教师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特殊教育学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旅游管理教师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中国语言文学类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普通话二级甲等及以上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思想政治教师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哲学类、马克思主义理论类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中共党员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计算机教师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计算机及相关专业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6740B"/>
    <w:rsid w:val="6C96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2017-01-03T07:46:00Z</dcterms:created>
  <dc:creator>guoqiang</dc:creator>
  <cp:lastModifiedBy>guoqiang</cp:lastModifiedBy>
  <dcterms:modified xsi:type="dcterms:W3CDTF">2017-01-03T07:47:05Z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