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</w:rPr>
        <w:t>附件1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</w:t>
      </w:r>
      <w:bookmarkStart w:id="0" w:name="_GoBack"/>
      <w:bookmarkEnd w:id="0"/>
    </w:p>
    <w:p>
      <w:pPr>
        <w:spacing w:line="500" w:lineRule="exact"/>
        <w:jc w:val="left"/>
        <w:rPr>
          <w:rFonts w:ascii="仿宋_GB2312" w:eastAsia="仿宋_GB2312"/>
          <w:sz w:val="30"/>
          <w:szCs w:val="30"/>
        </w:rPr>
      </w:pPr>
    </w:p>
    <w:p>
      <w:pPr>
        <w:spacing w:line="500" w:lineRule="exact"/>
        <w:jc w:val="center"/>
        <w:rPr>
          <w:rFonts w:ascii="仿宋" w:hAnsi="仿宋" w:eastAsia="仿宋" w:cs="宋体"/>
          <w:b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宋体"/>
          <w:b/>
          <w:sz w:val="28"/>
          <w:szCs w:val="28"/>
          <w:shd w:val="clear" w:color="auto" w:fill="FFFFFF"/>
        </w:rPr>
        <w:t>广西柳州畜牧兽医学校2018年度公开招聘非实名制工作人员岗位表</w:t>
      </w:r>
    </w:p>
    <w:p>
      <w:pPr>
        <w:spacing w:line="500" w:lineRule="exact"/>
        <w:jc w:val="center"/>
        <w:rPr>
          <w:rFonts w:ascii="仿宋" w:hAnsi="仿宋" w:eastAsia="仿宋" w:cs="宋体"/>
          <w:b/>
          <w:sz w:val="28"/>
          <w:szCs w:val="28"/>
          <w:shd w:val="clear" w:color="auto" w:fill="FFFFFF"/>
        </w:rPr>
      </w:pPr>
    </w:p>
    <w:tbl>
      <w:tblPr>
        <w:tblStyle w:val="3"/>
        <w:tblW w:w="8997" w:type="dxa"/>
        <w:jc w:val="center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1192"/>
        <w:gridCol w:w="794"/>
        <w:gridCol w:w="2909"/>
        <w:gridCol w:w="1191"/>
        <w:gridCol w:w="926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66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2"/>
              </w:rPr>
            </w:pPr>
            <w:r>
              <w:rPr>
                <w:rFonts w:hint="eastAsia" w:ascii="仿宋" w:hAnsi="仿宋" w:eastAsia="仿宋"/>
                <w:b/>
                <w:sz w:val="22"/>
              </w:rPr>
              <w:t>序号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2"/>
              </w:rPr>
            </w:pPr>
            <w:r>
              <w:rPr>
                <w:rFonts w:hint="eastAsia" w:ascii="仿宋" w:hAnsi="仿宋" w:eastAsia="仿宋"/>
                <w:b/>
                <w:sz w:val="22"/>
              </w:rPr>
              <w:t>岗位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2"/>
              </w:rPr>
            </w:pPr>
            <w:r>
              <w:rPr>
                <w:rFonts w:hint="eastAsia" w:ascii="仿宋" w:hAnsi="仿宋" w:eastAsia="仿宋"/>
                <w:b/>
                <w:sz w:val="22"/>
              </w:rPr>
              <w:t>人数</w:t>
            </w:r>
          </w:p>
        </w:tc>
        <w:tc>
          <w:tcPr>
            <w:tcW w:w="290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2"/>
              </w:rPr>
            </w:pPr>
            <w:r>
              <w:rPr>
                <w:rFonts w:hint="eastAsia" w:ascii="仿宋" w:hAnsi="仿宋" w:eastAsia="仿宋"/>
                <w:b/>
                <w:sz w:val="22"/>
              </w:rPr>
              <w:t>专业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2"/>
              </w:rPr>
            </w:pPr>
            <w:r>
              <w:rPr>
                <w:rFonts w:hint="eastAsia" w:ascii="仿宋" w:hAnsi="仿宋" w:eastAsia="仿宋"/>
                <w:b/>
                <w:sz w:val="22"/>
              </w:rPr>
              <w:t>学历、学位</w:t>
            </w:r>
          </w:p>
        </w:tc>
        <w:tc>
          <w:tcPr>
            <w:tcW w:w="92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2"/>
              </w:rPr>
            </w:pPr>
            <w:r>
              <w:rPr>
                <w:rFonts w:hint="eastAsia" w:ascii="仿宋" w:hAnsi="仿宋" w:eastAsia="仿宋"/>
                <w:b/>
                <w:sz w:val="22"/>
              </w:rPr>
              <w:t>年龄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2"/>
              </w:rPr>
            </w:pPr>
            <w:r>
              <w:rPr>
                <w:rFonts w:hint="eastAsia" w:ascii="仿宋" w:hAnsi="仿宋" w:eastAsia="仿宋"/>
                <w:b/>
                <w:sz w:val="22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66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1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语文教师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2</w:t>
            </w:r>
          </w:p>
        </w:tc>
        <w:tc>
          <w:tcPr>
            <w:tcW w:w="2909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汉语言文学、汉语言文学教育</w:t>
            </w:r>
          </w:p>
        </w:tc>
        <w:tc>
          <w:tcPr>
            <w:tcW w:w="1191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本科、学士及以上</w:t>
            </w:r>
          </w:p>
        </w:tc>
        <w:tc>
          <w:tcPr>
            <w:tcW w:w="926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35周岁以下</w:t>
            </w:r>
          </w:p>
        </w:tc>
        <w:tc>
          <w:tcPr>
            <w:tcW w:w="1324" w:type="dxa"/>
            <w:vMerge w:val="restart"/>
            <w:vAlign w:val="center"/>
          </w:tcPr>
          <w:p>
            <w:pPr>
              <w:jc w:val="left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全日制师范类普通高校毕业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66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2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数学教师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1</w:t>
            </w:r>
          </w:p>
        </w:tc>
        <w:tc>
          <w:tcPr>
            <w:tcW w:w="2909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数学、数学与应用数学</w:t>
            </w:r>
          </w:p>
        </w:tc>
        <w:tc>
          <w:tcPr>
            <w:tcW w:w="1191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本科、学士及以上</w:t>
            </w:r>
          </w:p>
        </w:tc>
        <w:tc>
          <w:tcPr>
            <w:tcW w:w="926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35周岁以下</w:t>
            </w:r>
          </w:p>
        </w:tc>
        <w:tc>
          <w:tcPr>
            <w:tcW w:w="1324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66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3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英语教师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1</w:t>
            </w:r>
          </w:p>
        </w:tc>
        <w:tc>
          <w:tcPr>
            <w:tcW w:w="2909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英语、商务英语</w:t>
            </w:r>
          </w:p>
        </w:tc>
        <w:tc>
          <w:tcPr>
            <w:tcW w:w="1191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本科、学士及以上</w:t>
            </w:r>
          </w:p>
        </w:tc>
        <w:tc>
          <w:tcPr>
            <w:tcW w:w="926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35周岁以下</w:t>
            </w:r>
          </w:p>
        </w:tc>
        <w:tc>
          <w:tcPr>
            <w:tcW w:w="1324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  <w:jc w:val="center"/>
        </w:trPr>
        <w:tc>
          <w:tcPr>
            <w:tcW w:w="66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4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烹饪教师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1</w:t>
            </w:r>
          </w:p>
        </w:tc>
        <w:tc>
          <w:tcPr>
            <w:tcW w:w="2909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烹饪工艺与营养专业、烹饪与营养教育、食品营养与检验教育</w:t>
            </w:r>
          </w:p>
        </w:tc>
        <w:tc>
          <w:tcPr>
            <w:tcW w:w="1191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专科及以上</w:t>
            </w:r>
          </w:p>
        </w:tc>
        <w:tc>
          <w:tcPr>
            <w:tcW w:w="926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35周岁以下</w:t>
            </w:r>
          </w:p>
        </w:tc>
        <w:tc>
          <w:tcPr>
            <w:tcW w:w="1324" w:type="dxa"/>
            <w:vMerge w:val="restart"/>
            <w:vAlign w:val="center"/>
          </w:tcPr>
          <w:p>
            <w:pPr>
              <w:jc w:val="left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全日制普通高校毕业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66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5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电子商务教师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1</w:t>
            </w:r>
          </w:p>
        </w:tc>
        <w:tc>
          <w:tcPr>
            <w:tcW w:w="2909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电子商务、电子商务及法律、物流管理</w:t>
            </w:r>
          </w:p>
        </w:tc>
        <w:tc>
          <w:tcPr>
            <w:tcW w:w="1191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本科、学士及以上</w:t>
            </w:r>
          </w:p>
        </w:tc>
        <w:tc>
          <w:tcPr>
            <w:tcW w:w="926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35周岁以下</w:t>
            </w:r>
          </w:p>
        </w:tc>
        <w:tc>
          <w:tcPr>
            <w:tcW w:w="1324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66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7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计算机教师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2</w:t>
            </w:r>
          </w:p>
        </w:tc>
        <w:tc>
          <w:tcPr>
            <w:tcW w:w="2909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计算机网络工程、软件工程、计算机教育</w:t>
            </w:r>
          </w:p>
        </w:tc>
        <w:tc>
          <w:tcPr>
            <w:tcW w:w="1191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本科、学士及以上</w:t>
            </w:r>
          </w:p>
        </w:tc>
        <w:tc>
          <w:tcPr>
            <w:tcW w:w="926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35周岁以下</w:t>
            </w:r>
          </w:p>
        </w:tc>
        <w:tc>
          <w:tcPr>
            <w:tcW w:w="1324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66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6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汽车修理教师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1</w:t>
            </w:r>
          </w:p>
        </w:tc>
        <w:tc>
          <w:tcPr>
            <w:tcW w:w="2909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汽车维修工程教育、车辆工程、汽车运用与维修、新能源汽车维修技术、汽车服务工程</w:t>
            </w:r>
          </w:p>
        </w:tc>
        <w:tc>
          <w:tcPr>
            <w:tcW w:w="1191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专科及以上</w:t>
            </w:r>
          </w:p>
        </w:tc>
        <w:tc>
          <w:tcPr>
            <w:tcW w:w="926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40周岁以下</w:t>
            </w:r>
          </w:p>
        </w:tc>
        <w:tc>
          <w:tcPr>
            <w:tcW w:w="1324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853" w:type="dxa"/>
            <w:gridSpan w:val="2"/>
            <w:vAlign w:val="top"/>
          </w:tcPr>
          <w:p>
            <w:pPr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合计</w:t>
            </w:r>
          </w:p>
        </w:tc>
        <w:tc>
          <w:tcPr>
            <w:tcW w:w="794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9</w:t>
            </w:r>
          </w:p>
        </w:tc>
        <w:tc>
          <w:tcPr>
            <w:tcW w:w="2909" w:type="dxa"/>
            <w:vAlign w:val="top"/>
          </w:tcPr>
          <w:p>
            <w:pPr>
              <w:rPr>
                <w:rFonts w:ascii="仿宋" w:hAnsi="仿宋" w:eastAsia="仿宋"/>
                <w:sz w:val="22"/>
              </w:rPr>
            </w:pPr>
          </w:p>
        </w:tc>
        <w:tc>
          <w:tcPr>
            <w:tcW w:w="1191" w:type="dxa"/>
            <w:vAlign w:val="top"/>
          </w:tcPr>
          <w:p>
            <w:pPr>
              <w:rPr>
                <w:rFonts w:ascii="仿宋" w:hAnsi="仿宋" w:eastAsia="仿宋"/>
                <w:sz w:val="22"/>
              </w:rPr>
            </w:pPr>
          </w:p>
        </w:tc>
        <w:tc>
          <w:tcPr>
            <w:tcW w:w="926" w:type="dxa"/>
            <w:vAlign w:val="top"/>
          </w:tcPr>
          <w:p>
            <w:pPr>
              <w:rPr>
                <w:rFonts w:ascii="仿宋" w:hAnsi="仿宋" w:eastAsia="仿宋"/>
                <w:sz w:val="22"/>
              </w:rPr>
            </w:pPr>
          </w:p>
        </w:tc>
        <w:tc>
          <w:tcPr>
            <w:tcW w:w="1324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8997" w:type="dxa"/>
            <w:gridSpan w:val="7"/>
            <w:vAlign w:val="top"/>
          </w:tcPr>
          <w:p>
            <w:r>
              <w:rPr>
                <w:rFonts w:hint="eastAsia"/>
              </w:rPr>
              <w:t>注：</w:t>
            </w:r>
            <w:r>
              <w:rPr>
                <w:rFonts w:hint="eastAsia" w:ascii="仿宋" w:hAnsi="仿宋" w:eastAsia="仿宋"/>
                <w:sz w:val="22"/>
              </w:rPr>
              <w:t>35周岁以下指1983年11月1日以后出生；40周岁以下指1978年11月1日以后出生。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922042"/>
    <w:rsid w:val="589220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Office_11.1.0.7967_F1E327BC-269C-435d-A152-05C5408002CA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2018-12-04T05:41:00Z</dcterms:created>
  <dc:creator>鱼头</dc:creator>
  <cp:lastModifiedBy>鱼头</cp:lastModifiedBy>
  <dcterms:modified xsi:type="dcterms:W3CDTF">2018-12-04T05:42:24Z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2052-11.1.0.7967</vt:lpwstr>
  </property>
</Properties>
</file>