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18"/>
        <w:gridCol w:w="1030"/>
        <w:gridCol w:w="1030"/>
        <w:gridCol w:w="257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  <w:t>招聘岗位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03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03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25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  <w:t>招聘对象及条件</w:t>
            </w: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语文教师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本科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及以上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各学科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相关专业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30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岁及以下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1.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国家“双一流”大学、</w:t>
            </w:r>
            <w:r>
              <w:rPr>
                <w:rFonts w:hint="eastAsia" w:ascii="方正仿宋_GBK" w:hAnsi="宋体" w:eastAsia="方正仿宋_GBK"/>
                <w:color w:val="000000" w:themeColor="text1"/>
                <w:sz w:val="28"/>
                <w:szCs w:val="28"/>
              </w:rPr>
              <w:t>教育部直属师范院校</w:t>
            </w:r>
            <w:r>
              <w:rPr>
                <w:rFonts w:ascii="方正仿宋_GBK" w:hAnsi="宋体" w:eastAsia="方正仿宋_GBK"/>
                <w:color w:val="000000" w:themeColor="text1"/>
                <w:sz w:val="28"/>
                <w:szCs w:val="28"/>
              </w:rPr>
              <w:t>2020</w:t>
            </w:r>
            <w:r>
              <w:rPr>
                <w:rFonts w:hint="eastAsia" w:ascii="方正仿宋_GBK" w:hAnsi="宋体" w:eastAsia="方正仿宋_GBK"/>
                <w:color w:val="000000" w:themeColor="text1"/>
                <w:sz w:val="28"/>
                <w:szCs w:val="28"/>
              </w:rPr>
              <w:t>年应届毕业生，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获学士及以上学位。</w:t>
            </w:r>
          </w:p>
          <w:p>
            <w:pPr>
              <w:spacing w:line="360" w:lineRule="exact"/>
              <w:jc w:val="left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2.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普通话达二级乙等及以上</w:t>
            </w: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语文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  <w:lang w:eastAsia="zh-CN"/>
              </w:rPr>
              <w:t>教师岗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普通话达二级甲等</w:t>
            </w: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)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，有高级中学及以上教师资格证。</w:t>
            </w:r>
          </w:p>
        </w:tc>
        <w:tc>
          <w:tcPr>
            <w:tcW w:w="204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仿宋_GBK" w:hAnsi="宋体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hAnsi="宋体" w:eastAsia="方正仿宋_GBK"/>
                <w:color w:val="000000" w:themeColor="text1"/>
                <w:sz w:val="28"/>
                <w:szCs w:val="28"/>
              </w:rPr>
              <w:t>1.</w:t>
            </w:r>
            <w:r>
              <w:rPr>
                <w:rFonts w:hint="eastAsia" w:ascii="方正仿宋_GBK" w:hAnsi="宋体" w:eastAsia="方正仿宋_GBK"/>
                <w:color w:val="000000" w:themeColor="text1"/>
                <w:sz w:val="28"/>
                <w:szCs w:val="28"/>
              </w:rPr>
              <w:t>毕业证、学位证、教师资格证书在资格复审时提供。</w:t>
            </w:r>
          </w:p>
          <w:p>
            <w:pPr>
              <w:spacing w:line="400" w:lineRule="exact"/>
              <w:jc w:val="left"/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</w:pPr>
            <w:r>
              <w:rPr>
                <w:rFonts w:ascii="方正仿宋_GBK" w:hAnsi="宋体" w:eastAsia="方正仿宋_GBK"/>
                <w:color w:val="000000" w:themeColor="text1"/>
                <w:sz w:val="28"/>
                <w:szCs w:val="28"/>
              </w:rPr>
              <w:t>2.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年龄计算截止</w:t>
            </w: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2019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11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方正仿宋_GBK" w:hAnsi="宋体" w:eastAsia="方正仿宋_GBK" w:cs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8"/>
                <w:szCs w:val="28"/>
              </w:rPr>
              <w:t>日。</w:t>
            </w:r>
          </w:p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数学教师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英语教师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历史教师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地理教师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政治教师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物理教师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化学教师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生物教师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信息技术教师</w:t>
            </w:r>
            <w:r>
              <w:rPr>
                <w:rFonts w:ascii="方正仿宋_GBK" w:hAnsi="宋体" w:eastAsia="方正仿宋_GBK" w:cs="仿宋"/>
                <w:color w:val="000000" w:themeColor="text1"/>
                <w:szCs w:val="21"/>
              </w:rPr>
              <w:t>1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Cs w:val="21"/>
              </w:rPr>
              <w:t>人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hAnsi="宋体" w:eastAsia="方正仿宋_GBK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896" w:firstLineChars="600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899" w:h="16839"/>
      <w:pgMar w:top="1134" w:right="1021" w:bottom="1134" w:left="1021" w:header="851" w:footer="992" w:gutter="0"/>
      <w:cols w:space="720" w:num="1"/>
      <w:docGrid w:type="linesAndChars" w:linePitch="579" w:charSpace="-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606"/>
    <w:multiLevelType w:val="multilevel"/>
    <w:tmpl w:val="553406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429"/>
    <w:rsid w:val="00046148"/>
    <w:rsid w:val="00050B3B"/>
    <w:rsid w:val="000560F3"/>
    <w:rsid w:val="0006616C"/>
    <w:rsid w:val="00073A9A"/>
    <w:rsid w:val="00077E7A"/>
    <w:rsid w:val="000B2965"/>
    <w:rsid w:val="000C3C05"/>
    <w:rsid w:val="00117548"/>
    <w:rsid w:val="00134F84"/>
    <w:rsid w:val="00137482"/>
    <w:rsid w:val="0015396E"/>
    <w:rsid w:val="00172A27"/>
    <w:rsid w:val="00183A58"/>
    <w:rsid w:val="001875D1"/>
    <w:rsid w:val="001A3180"/>
    <w:rsid w:val="001C2C9E"/>
    <w:rsid w:val="001D3CC4"/>
    <w:rsid w:val="001F1101"/>
    <w:rsid w:val="001F463C"/>
    <w:rsid w:val="001F6902"/>
    <w:rsid w:val="0023095A"/>
    <w:rsid w:val="00232B1B"/>
    <w:rsid w:val="002702F5"/>
    <w:rsid w:val="00293713"/>
    <w:rsid w:val="002A51EF"/>
    <w:rsid w:val="002C6716"/>
    <w:rsid w:val="002E6F4B"/>
    <w:rsid w:val="003433EE"/>
    <w:rsid w:val="00345398"/>
    <w:rsid w:val="00365EE6"/>
    <w:rsid w:val="00367151"/>
    <w:rsid w:val="00370C60"/>
    <w:rsid w:val="00375B4E"/>
    <w:rsid w:val="003A349B"/>
    <w:rsid w:val="003C352E"/>
    <w:rsid w:val="003D0D7C"/>
    <w:rsid w:val="003F1C18"/>
    <w:rsid w:val="00415D12"/>
    <w:rsid w:val="00430818"/>
    <w:rsid w:val="004343B2"/>
    <w:rsid w:val="00437040"/>
    <w:rsid w:val="00437EAD"/>
    <w:rsid w:val="004606F5"/>
    <w:rsid w:val="00494035"/>
    <w:rsid w:val="0049500E"/>
    <w:rsid w:val="004A4A10"/>
    <w:rsid w:val="004F3BC1"/>
    <w:rsid w:val="00501927"/>
    <w:rsid w:val="0051010B"/>
    <w:rsid w:val="00534AA3"/>
    <w:rsid w:val="0055357D"/>
    <w:rsid w:val="005623DC"/>
    <w:rsid w:val="00564EAC"/>
    <w:rsid w:val="005B7E24"/>
    <w:rsid w:val="005E5B5D"/>
    <w:rsid w:val="006208B8"/>
    <w:rsid w:val="00647D6B"/>
    <w:rsid w:val="00650728"/>
    <w:rsid w:val="00662094"/>
    <w:rsid w:val="006B6E42"/>
    <w:rsid w:val="006D721D"/>
    <w:rsid w:val="006E33CF"/>
    <w:rsid w:val="00700E38"/>
    <w:rsid w:val="00702469"/>
    <w:rsid w:val="0070710C"/>
    <w:rsid w:val="00721980"/>
    <w:rsid w:val="0075074B"/>
    <w:rsid w:val="007515F6"/>
    <w:rsid w:val="00777637"/>
    <w:rsid w:val="00794D33"/>
    <w:rsid w:val="00795F80"/>
    <w:rsid w:val="007A515D"/>
    <w:rsid w:val="007B4C16"/>
    <w:rsid w:val="007C3DA4"/>
    <w:rsid w:val="007C7B47"/>
    <w:rsid w:val="007D773F"/>
    <w:rsid w:val="007E546A"/>
    <w:rsid w:val="007F065F"/>
    <w:rsid w:val="007F6E21"/>
    <w:rsid w:val="00801DE7"/>
    <w:rsid w:val="00802EF5"/>
    <w:rsid w:val="00807888"/>
    <w:rsid w:val="00896E49"/>
    <w:rsid w:val="008A5829"/>
    <w:rsid w:val="008C0041"/>
    <w:rsid w:val="00902DA2"/>
    <w:rsid w:val="00926412"/>
    <w:rsid w:val="00937219"/>
    <w:rsid w:val="00957B25"/>
    <w:rsid w:val="00960C7E"/>
    <w:rsid w:val="0099675B"/>
    <w:rsid w:val="009B27B1"/>
    <w:rsid w:val="009C38B4"/>
    <w:rsid w:val="009D1E7E"/>
    <w:rsid w:val="009F0334"/>
    <w:rsid w:val="00A11F3D"/>
    <w:rsid w:val="00A12E7F"/>
    <w:rsid w:val="00A2619A"/>
    <w:rsid w:val="00A420AD"/>
    <w:rsid w:val="00A55A26"/>
    <w:rsid w:val="00A624F5"/>
    <w:rsid w:val="00A665C5"/>
    <w:rsid w:val="00A80008"/>
    <w:rsid w:val="00A84CAB"/>
    <w:rsid w:val="00AB6F26"/>
    <w:rsid w:val="00AD6E85"/>
    <w:rsid w:val="00AF3820"/>
    <w:rsid w:val="00AF3F74"/>
    <w:rsid w:val="00B321E5"/>
    <w:rsid w:val="00B35383"/>
    <w:rsid w:val="00B46527"/>
    <w:rsid w:val="00B503DC"/>
    <w:rsid w:val="00B6602B"/>
    <w:rsid w:val="00B73215"/>
    <w:rsid w:val="00B93BE4"/>
    <w:rsid w:val="00BA5157"/>
    <w:rsid w:val="00BC37AE"/>
    <w:rsid w:val="00BE65EF"/>
    <w:rsid w:val="00BF4919"/>
    <w:rsid w:val="00C16CF2"/>
    <w:rsid w:val="00C3581C"/>
    <w:rsid w:val="00C41B5B"/>
    <w:rsid w:val="00C55120"/>
    <w:rsid w:val="00C62C69"/>
    <w:rsid w:val="00C6728A"/>
    <w:rsid w:val="00C70F80"/>
    <w:rsid w:val="00C95BA6"/>
    <w:rsid w:val="00CC2DE8"/>
    <w:rsid w:val="00D15297"/>
    <w:rsid w:val="00D220EB"/>
    <w:rsid w:val="00D377B0"/>
    <w:rsid w:val="00D52384"/>
    <w:rsid w:val="00D749A3"/>
    <w:rsid w:val="00D81A47"/>
    <w:rsid w:val="00DD50AC"/>
    <w:rsid w:val="00DE0993"/>
    <w:rsid w:val="00DE76BC"/>
    <w:rsid w:val="00DF0A7E"/>
    <w:rsid w:val="00E04205"/>
    <w:rsid w:val="00E07D86"/>
    <w:rsid w:val="00E646D8"/>
    <w:rsid w:val="00E6536E"/>
    <w:rsid w:val="00E959C7"/>
    <w:rsid w:val="00EA7A0A"/>
    <w:rsid w:val="00EB0D07"/>
    <w:rsid w:val="00EB3A85"/>
    <w:rsid w:val="00F266C8"/>
    <w:rsid w:val="00F63339"/>
    <w:rsid w:val="00FA1EA2"/>
    <w:rsid w:val="00FB17E5"/>
    <w:rsid w:val="00FE5768"/>
    <w:rsid w:val="00FF1213"/>
    <w:rsid w:val="00FF6DA3"/>
    <w:rsid w:val="03B80F33"/>
    <w:rsid w:val="03F57713"/>
    <w:rsid w:val="049B153D"/>
    <w:rsid w:val="04B063FF"/>
    <w:rsid w:val="074D1D93"/>
    <w:rsid w:val="0A455532"/>
    <w:rsid w:val="0A7277B0"/>
    <w:rsid w:val="0CE57B98"/>
    <w:rsid w:val="0E872CDD"/>
    <w:rsid w:val="161549BC"/>
    <w:rsid w:val="1BC45921"/>
    <w:rsid w:val="1F2B5C3D"/>
    <w:rsid w:val="1F3F26DF"/>
    <w:rsid w:val="201F24AB"/>
    <w:rsid w:val="232D72EE"/>
    <w:rsid w:val="26DA55BB"/>
    <w:rsid w:val="290D73BE"/>
    <w:rsid w:val="2DD46CB3"/>
    <w:rsid w:val="2EC367AA"/>
    <w:rsid w:val="33A740E7"/>
    <w:rsid w:val="33B21B6E"/>
    <w:rsid w:val="35113F2A"/>
    <w:rsid w:val="352408FE"/>
    <w:rsid w:val="364464E9"/>
    <w:rsid w:val="3B743375"/>
    <w:rsid w:val="3C723193"/>
    <w:rsid w:val="3DA23AAD"/>
    <w:rsid w:val="3DE40B33"/>
    <w:rsid w:val="3F34228A"/>
    <w:rsid w:val="43BB7A73"/>
    <w:rsid w:val="443D2A08"/>
    <w:rsid w:val="443D74CB"/>
    <w:rsid w:val="46307DF5"/>
    <w:rsid w:val="4A7D5866"/>
    <w:rsid w:val="4E6B63E3"/>
    <w:rsid w:val="51211E26"/>
    <w:rsid w:val="51DC28AA"/>
    <w:rsid w:val="51E64FDB"/>
    <w:rsid w:val="541E2F9A"/>
    <w:rsid w:val="57216849"/>
    <w:rsid w:val="579B7F49"/>
    <w:rsid w:val="5FBE13BE"/>
    <w:rsid w:val="602A08E8"/>
    <w:rsid w:val="656B1514"/>
    <w:rsid w:val="66031740"/>
    <w:rsid w:val="72CF2675"/>
    <w:rsid w:val="733F145C"/>
    <w:rsid w:val="754858E2"/>
    <w:rsid w:val="75C77853"/>
    <w:rsid w:val="760A500A"/>
    <w:rsid w:val="78304073"/>
    <w:rsid w:val="79B04C50"/>
    <w:rsid w:val="7A6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locked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ascii="Times New Roman" w:hAnsi="Times New Roman" w:eastAsia="宋体" w:cs="Times New Roman"/>
    </w:rPr>
  </w:style>
  <w:style w:type="character" w:styleId="13">
    <w:name w:val="Hyperlink"/>
    <w:basedOn w:val="10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Heading 1 Char"/>
    <w:basedOn w:val="1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Plain Text Char"/>
    <w:basedOn w:val="10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6">
    <w:name w:val="Balloon Text Char"/>
    <w:basedOn w:val="10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7">
    <w:name w:val="Footer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20">
    <w:name w:val="正文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381</Words>
  <Characters>2173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2019-10-12T06:27:00Z</dcterms:created>
  <dc:creator>Sky123.Org</dc:creator>
  <cp:lastModifiedBy>秋叶夏花</cp:lastModifiedBy>
  <cp:lastPrinted>2019-10-16T02:56:00Z</cp:lastPrinted>
  <dcterms:modified xsi:type="dcterms:W3CDTF">2019-10-17T12:06:14Z</dcterms:modified>
  <dc:title>云南省保山市市学校2014年公开招聘教师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