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text" w:horzAnchor="page" w:tblpX="1531" w:tblpY="593"/>
        <w:tblOverlap w:val="never"/>
        <w:tblW w:w="138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3"/>
        <w:gridCol w:w="823"/>
        <w:gridCol w:w="1949"/>
        <w:gridCol w:w="883"/>
        <w:gridCol w:w="751"/>
        <w:gridCol w:w="1434"/>
        <w:gridCol w:w="5033"/>
        <w:gridCol w:w="17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138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spacing w:line="620" w:lineRule="exact"/>
              <w:jc w:val="left"/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lang w:val="en-US" w:eastAsia="zh-CN"/>
              </w:rPr>
              <w:t>附件1</w:t>
            </w: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6104255</wp:posOffset>
                  </wp:positionH>
                  <wp:positionV relativeFrom="paragraph">
                    <wp:posOffset>0</wp:posOffset>
                  </wp:positionV>
                  <wp:extent cx="203200" cy="8890"/>
                  <wp:effectExtent l="0" t="0" r="0" b="0"/>
                  <wp:wrapNone/>
                  <wp:docPr id="4" name="Text_Box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Text_Box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6104255</wp:posOffset>
                  </wp:positionH>
                  <wp:positionV relativeFrom="paragraph">
                    <wp:posOffset>0</wp:posOffset>
                  </wp:positionV>
                  <wp:extent cx="203200" cy="8890"/>
                  <wp:effectExtent l="0" t="0" r="0" b="0"/>
                  <wp:wrapNone/>
                  <wp:docPr id="2" name="Text_Box_1_SpCnt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Text_Box_1_SpCnt_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8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6104255</wp:posOffset>
                  </wp:positionH>
                  <wp:positionV relativeFrom="paragraph">
                    <wp:posOffset>0</wp:posOffset>
                  </wp:positionV>
                  <wp:extent cx="203200" cy="15240"/>
                  <wp:effectExtent l="0" t="0" r="0" b="0"/>
                  <wp:wrapNone/>
                  <wp:docPr id="3" name="Text_Box_1_SpCnt_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Text_Box_1_SpCnt_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6104255</wp:posOffset>
                  </wp:positionH>
                  <wp:positionV relativeFrom="paragraph">
                    <wp:posOffset>0</wp:posOffset>
                  </wp:positionV>
                  <wp:extent cx="203200" cy="15240"/>
                  <wp:effectExtent l="0" t="0" r="0" b="0"/>
                  <wp:wrapNone/>
                  <wp:docPr id="1" name="Text_Box_1_SpCnt_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ext_Box_1_SpCnt_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3200" cy="15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安徽艺术学院2024年高层次人才招聘岗位计划（一）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拟聘岗位</w:t>
            </w:r>
          </w:p>
        </w:tc>
        <w:tc>
          <w:tcPr>
            <w:tcW w:w="8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拟聘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人数</w:t>
            </w:r>
          </w:p>
        </w:tc>
        <w:tc>
          <w:tcPr>
            <w:tcW w:w="117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招聘岗位所需资格条件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学科（专业）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学历  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学位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</w:trPr>
        <w:tc>
          <w:tcPr>
            <w:tcW w:w="12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专业技术岗位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20人</w:t>
            </w: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舞蹈表演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（1）中国民族民间舞、古典舞、芭蕾基训、舞蹈编导方向教师，能胜专业课教学和剧目的编创及排练工作；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（2）具有优秀的舞台表演、及编创能力，个人表演或编创作品入选国际、国家级舞蹈专业赛事展演、比赛；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（3）本硕博专业一致；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atLeast"/>
        </w:trPr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舞蹈表演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（1）摩登舞方向教师，能胜任国际标准舞摩登舞教学和剧目的编创及排练工作；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（2）个人表演或编创作品入选国际、国家级舞蹈专业赛事展演、比赛；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333333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（3）本硕博专业一致；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333333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戏剧影视表演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（导演方向）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03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80" w:afterAutospacing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具有副教授及以上职称者，年龄可放宽至45周岁以下。</w:t>
            </w:r>
          </w:p>
        </w:tc>
        <w:tc>
          <w:tcPr>
            <w:tcW w:w="17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80" w:afterAutospacing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新闻传播学类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80" w:afterAutospacing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具有副教授及以上职称者，年龄可放宽至45周岁以下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80" w:afterAutospacing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新闻传播学类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本、硕、博有一个阶段是</w:t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播音主持专业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；具有副教授及以上职称者，年龄可放宽至45周岁以下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美术史论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具有副教授及以上职称者，年龄可放宽至45周岁以下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仿宋_GB2312" w:hAnsi="宋体" w:eastAsia="仿宋_GB2312" w:cs="仿宋_GB2312"/>
                <w:i w:val="0"/>
                <w:iCs w:val="0"/>
                <w:color w:val="333333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艺术管理（美术）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1年以上</w:t>
            </w:r>
            <w:r>
              <w:rPr>
                <w:rFonts w:hint="eastAsia" w:ascii="仿宋_GB2312" w:hAnsi="宋体" w:eastAsia="仿宋_GB2312" w:cs="仿宋_GB2312"/>
                <w:b/>
                <w:bCs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专业策展经验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；具有副教授及以上职称者，年龄可放宽至45周岁以下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版画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80" w:afterAutospacing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sz w:val="18"/>
                <w:szCs w:val="18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具有副教授及以上职称者，年龄可放宽至45周岁以下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80" w:afterAutospacing="0"/>
              <w:jc w:val="both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视觉传达设计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80" w:afterAutospacing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信息可视化设计方向优先，具有副教授及以上职称者，年龄可放宽至45周岁以下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数字媒体艺术           艺术与科技、动画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80" w:afterAutospacing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交互式设计方向、熟练使用C4D/UE4/UNITY软件优先，具有副教授及以上职称者，年龄可放宽至45周岁以下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</w:trPr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计算机科学与技术、软件工程、数字媒体技术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80" w:afterAutospacing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熟练代码编程优先、熟练使用C4D/UE4/UNITY软件优先，具有副教授及以上职称者，年龄可放宽至45周岁以下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9" w:hRule="atLeast"/>
        </w:trPr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环境设计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建筑学、风景园林方向优先，具有副教授及以上职称者，年龄可放宽至45周岁以下     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</w:trPr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工业设计、产品设计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擅长参数化设计、智能化设计，具有副高及以上职称者，年龄可放宽至45周岁以下       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1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非物质文化遗产保护 （科学技术史）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博士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80" w:afterAutospacing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具有副教授及以上职称者，年龄可放宽至45周岁以下      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23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</w:t>
            </w:r>
          </w:p>
        </w:tc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马克思主义理论</w:t>
            </w:r>
          </w:p>
        </w:tc>
        <w:tc>
          <w:tcPr>
            <w:tcW w:w="8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硕士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及以上</w:t>
            </w:r>
          </w:p>
        </w:tc>
        <w:tc>
          <w:tcPr>
            <w:tcW w:w="1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30周岁以下</w:t>
            </w:r>
          </w:p>
        </w:tc>
        <w:tc>
          <w:tcPr>
            <w:tcW w:w="50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180" w:afterAutospacing="0"/>
              <w:jc w:val="left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中共党员；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本科专业与硕士专业相近；有高校思政课教师工作经历，获校级教学竞赛二等奖以上、或省级教学竞赛三等奖以上。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auto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auto"/>
                <w:kern w:val="0"/>
                <w:sz w:val="18"/>
                <w:szCs w:val="18"/>
                <w:u w:val="none"/>
                <w:lang w:val="en-US" w:eastAsia="zh-CN" w:bidi="ar"/>
              </w:rPr>
              <w:t>博士可参照本次高层次人才进行综合考核；硕士请关注我校后续公开招考通知。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333BD9C4-D7ED-44B4-B330-A8D9E0DDD269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F673A2C2-44C8-4096-985D-7C4EF5305018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A8D112AD-7D93-4CF8-A30B-16E925DB48C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g4MzlhYzlkYzUyZGVmMWM4OWI2Zjk4OTBlOThjZjEifQ=="/>
  </w:docVars>
  <w:rsids>
    <w:rsidRoot w:val="00000000"/>
    <w:rsid w:val="5CE6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2024-02-29T14:31:40Z</dcterms:created>
  <dc:creator>rsc</dc:creator>
  <cp:lastModifiedBy>Sheeta</cp:lastModifiedBy>
  <dcterms:modified xsi:type="dcterms:W3CDTF">2024-02-29T14:32:14Z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BCAA9ED5BA39416CB2FEC8B471A4AA62_12</vt:lpwstr>
  </property>
</Properties>
</file>